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F" w:rsidRDefault="00341BF9" w:rsidP="00341BF9"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-682625</wp:posOffset>
            </wp:positionV>
            <wp:extent cx="1907540" cy="848995"/>
            <wp:effectExtent l="19050" t="0" r="0" b="0"/>
            <wp:wrapNone/>
            <wp:docPr id="1" name="Picture 2" descr="http://intranet.ebrd.com/ebrdnet/tools/pr/logo/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ebrd.com/ebrdnet/tools/pr/logo/f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-584109</wp:posOffset>
            </wp:positionV>
            <wp:extent cx="728053" cy="631371"/>
            <wp:effectExtent l="19050" t="0" r="0" b="0"/>
            <wp:wrapNone/>
            <wp:docPr id="19" name="Image 19" descr="C:\Users\moufida\Desktop\Mes documents\CONGRES UTICA\Dossier Congrès\logo u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ufida\Desktop\Mes documents\CONGRES UTICA\Dossier Congrès\logo u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26" cy="6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AA5" w:rsidRPr="00461AA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43688F" w:rsidRDefault="0043688F" w:rsidP="009F35EA"/>
    <w:p w:rsidR="00461AA5" w:rsidRPr="00461AA5" w:rsidRDefault="00FB3BB2" w:rsidP="00461AA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Rencontre</w:t>
      </w:r>
      <w:r w:rsidR="00461AA5" w:rsidRPr="00461AA5">
        <w:rPr>
          <w:rFonts w:ascii="Bookman Old Style" w:hAnsi="Bookman Old Style"/>
          <w:b/>
          <w:sz w:val="36"/>
          <w:szCs w:val="36"/>
        </w:rPr>
        <w:t xml:space="preserve"> d’information</w:t>
      </w:r>
    </w:p>
    <w:p w:rsidR="00461AA5" w:rsidRPr="00461AA5" w:rsidRDefault="00FB3BB2" w:rsidP="00461AA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Mardi </w:t>
      </w:r>
      <w:r w:rsidR="00461AA5" w:rsidRPr="00461AA5">
        <w:rPr>
          <w:rFonts w:ascii="Bookman Old Style" w:hAnsi="Bookman Old Style"/>
          <w:b/>
          <w:sz w:val="24"/>
          <w:szCs w:val="24"/>
        </w:rPr>
        <w:t>24 Février 2</w:t>
      </w:r>
      <w:r w:rsidR="0011589D">
        <w:rPr>
          <w:rFonts w:ascii="Bookman Old Style" w:hAnsi="Bookman Old Style"/>
          <w:b/>
          <w:sz w:val="24"/>
          <w:szCs w:val="24"/>
        </w:rPr>
        <w:t>015</w:t>
      </w:r>
      <w:r w:rsidR="003B7BC7">
        <w:rPr>
          <w:rFonts w:ascii="Bookman Old Style" w:hAnsi="Bookman Old Style"/>
          <w:b/>
          <w:sz w:val="24"/>
          <w:szCs w:val="24"/>
        </w:rPr>
        <w:t xml:space="preserve"> à 14h30 au siège de l’UTICA</w:t>
      </w:r>
    </w:p>
    <w:p w:rsidR="00461AA5" w:rsidRDefault="00461AA5" w:rsidP="009F35EA"/>
    <w:tbl>
      <w:tblPr>
        <w:tblStyle w:val="Grilledutableau"/>
        <w:tblW w:w="9889" w:type="dxa"/>
        <w:tblLook w:val="04A0"/>
      </w:tblPr>
      <w:tblGrid>
        <w:gridCol w:w="1526"/>
        <w:gridCol w:w="8363"/>
      </w:tblGrid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spacing w:line="360" w:lineRule="auto"/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14H30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>Accueil des participants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spacing w:line="360" w:lineRule="auto"/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15H00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 xml:space="preserve">Mot de bienvenue de Madame </w:t>
            </w:r>
            <w:proofErr w:type="spellStart"/>
            <w:r w:rsidRPr="0044030D">
              <w:rPr>
                <w:sz w:val="24"/>
                <w:szCs w:val="24"/>
              </w:rPr>
              <w:t>Ouided</w:t>
            </w:r>
            <w:proofErr w:type="spellEnd"/>
            <w:r w:rsidRPr="0044030D">
              <w:rPr>
                <w:sz w:val="24"/>
                <w:szCs w:val="24"/>
              </w:rPr>
              <w:t xml:space="preserve"> BOUCHAMAOUI, Présidente de l’UTICA 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15H05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>Présentation de la BERD et de ses activités dans la région S</w:t>
            </w:r>
            <w:r w:rsidR="002B3E93" w:rsidRPr="0044030D">
              <w:rPr>
                <w:sz w:val="24"/>
                <w:szCs w:val="24"/>
              </w:rPr>
              <w:t xml:space="preserve">outh and East </w:t>
            </w:r>
            <w:proofErr w:type="spellStart"/>
            <w:r w:rsidR="002B3E93" w:rsidRPr="00341BF9">
              <w:rPr>
                <w:sz w:val="24"/>
                <w:szCs w:val="24"/>
                <w:lang w:val="en-US"/>
              </w:rPr>
              <w:t>Mediterranean</w:t>
            </w:r>
            <w:proofErr w:type="spellEnd"/>
            <w:r w:rsidR="002B3E93" w:rsidRPr="0044030D">
              <w:rPr>
                <w:sz w:val="24"/>
                <w:szCs w:val="24"/>
              </w:rPr>
              <w:t xml:space="preserve"> (SEMED)</w:t>
            </w:r>
          </w:p>
          <w:p w:rsidR="0043688F" w:rsidRPr="0044030D" w:rsidRDefault="0043688F" w:rsidP="00DA1013">
            <w:pPr>
              <w:pStyle w:val="Paragraphedeliste"/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 xml:space="preserve">Madame </w:t>
            </w:r>
            <w:proofErr w:type="spellStart"/>
            <w:r w:rsidRPr="0044030D">
              <w:rPr>
                <w:sz w:val="24"/>
                <w:szCs w:val="24"/>
              </w:rPr>
              <w:t>Hildegard</w:t>
            </w:r>
            <w:proofErr w:type="spellEnd"/>
            <w:r w:rsidRPr="0044030D">
              <w:rPr>
                <w:sz w:val="24"/>
                <w:szCs w:val="24"/>
              </w:rPr>
              <w:t xml:space="preserve"> GACEK, </w:t>
            </w:r>
            <w:proofErr w:type="spellStart"/>
            <w:r w:rsidRPr="0044030D">
              <w:rPr>
                <w:sz w:val="24"/>
                <w:szCs w:val="24"/>
              </w:rPr>
              <w:t>Managing</w:t>
            </w:r>
            <w:proofErr w:type="spellEnd"/>
            <w:r w:rsidRPr="0044030D">
              <w:rPr>
                <w:sz w:val="24"/>
                <w:szCs w:val="24"/>
              </w:rPr>
              <w:t xml:space="preserve"> </w:t>
            </w:r>
            <w:proofErr w:type="spellStart"/>
            <w:r w:rsidRPr="0044030D">
              <w:rPr>
                <w:sz w:val="24"/>
                <w:szCs w:val="24"/>
              </w:rPr>
              <w:t>Director</w:t>
            </w:r>
            <w:proofErr w:type="spellEnd"/>
            <w:r w:rsidRPr="0044030D">
              <w:rPr>
                <w:sz w:val="24"/>
                <w:szCs w:val="24"/>
              </w:rPr>
              <w:t xml:space="preserve"> en charge de la région SEMED au sein de la BERD 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15H15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 xml:space="preserve">Présentation de la BERD en Tunisie </w:t>
            </w:r>
          </w:p>
          <w:p w:rsidR="0043688F" w:rsidRPr="0044030D" w:rsidRDefault="0043688F" w:rsidP="00DA1013">
            <w:pPr>
              <w:pStyle w:val="Paragraphedeliste"/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 xml:space="preserve">Madame Marie-Alexandra </w:t>
            </w:r>
            <w:r w:rsidR="00D455DF" w:rsidRPr="0044030D">
              <w:rPr>
                <w:sz w:val="24"/>
                <w:szCs w:val="24"/>
              </w:rPr>
              <w:t>VEILLEUX-LABORIE</w:t>
            </w:r>
            <w:r w:rsidRPr="0044030D">
              <w:rPr>
                <w:sz w:val="24"/>
                <w:szCs w:val="24"/>
              </w:rPr>
              <w:t>, Chef de Bureau de la BERD en Tunisie (15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15H30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b/>
                <w:bCs/>
                <w:sz w:val="24"/>
                <w:szCs w:val="24"/>
              </w:rPr>
              <w:t>Etude de cas</w:t>
            </w:r>
            <w:r w:rsidRPr="0044030D">
              <w:rPr>
                <w:sz w:val="24"/>
                <w:szCs w:val="24"/>
              </w:rPr>
              <w:t xml:space="preserve"> : Collaboration entre la BERD et la Société Vermeg sur le volet Financement, témoignage de Monsieur </w:t>
            </w:r>
            <w:proofErr w:type="spellStart"/>
            <w:r w:rsidRPr="0044030D">
              <w:rPr>
                <w:sz w:val="24"/>
                <w:szCs w:val="24"/>
              </w:rPr>
              <w:t>Badreddine</w:t>
            </w:r>
            <w:proofErr w:type="spellEnd"/>
            <w:r w:rsidRPr="0044030D">
              <w:rPr>
                <w:sz w:val="24"/>
                <w:szCs w:val="24"/>
              </w:rPr>
              <w:t xml:space="preserve"> OUALI, PDG de </w:t>
            </w:r>
            <w:r w:rsidR="00D455DF" w:rsidRPr="0044030D">
              <w:rPr>
                <w:sz w:val="24"/>
                <w:szCs w:val="24"/>
              </w:rPr>
              <w:t xml:space="preserve">VERMEG </w:t>
            </w:r>
            <w:r w:rsidRPr="0044030D">
              <w:rPr>
                <w:sz w:val="24"/>
                <w:szCs w:val="24"/>
              </w:rPr>
              <w:t>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15H40</w:t>
            </w:r>
          </w:p>
        </w:tc>
        <w:tc>
          <w:tcPr>
            <w:tcW w:w="8363" w:type="dxa"/>
          </w:tcPr>
          <w:p w:rsidR="0043688F" w:rsidRPr="00D455DF" w:rsidRDefault="0043688F" w:rsidP="00D455D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55DF">
              <w:rPr>
                <w:b/>
                <w:bCs/>
                <w:sz w:val="24"/>
                <w:szCs w:val="24"/>
              </w:rPr>
              <w:t>Questions – Réponses</w:t>
            </w:r>
            <w:r w:rsidRPr="00D455DF">
              <w:rPr>
                <w:sz w:val="24"/>
                <w:szCs w:val="24"/>
              </w:rPr>
              <w:t xml:space="preserve"> portant sur le volet Financement 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15H50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>Présentation des activités Assistance Technique de la BERD en Tunisie – Monsieur Anis EL FAHEM, Responsable du Programme SBS en Tunisie, BERD Tunisie 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16H00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b/>
                <w:bCs/>
                <w:sz w:val="24"/>
                <w:szCs w:val="24"/>
              </w:rPr>
              <w:t>Etude de cas</w:t>
            </w:r>
            <w:r w:rsidRPr="0044030D">
              <w:rPr>
                <w:sz w:val="24"/>
                <w:szCs w:val="24"/>
              </w:rPr>
              <w:t xml:space="preserve"> : Collaboration entre la BERD et la Société Bondin sur le volet Assistance Technique, témoignage de Monsieur </w:t>
            </w:r>
            <w:proofErr w:type="spellStart"/>
            <w:r w:rsidRPr="0044030D">
              <w:rPr>
                <w:sz w:val="24"/>
                <w:szCs w:val="24"/>
              </w:rPr>
              <w:t>Slim</w:t>
            </w:r>
            <w:proofErr w:type="spellEnd"/>
            <w:r w:rsidRPr="0044030D">
              <w:rPr>
                <w:sz w:val="24"/>
                <w:szCs w:val="24"/>
              </w:rPr>
              <w:t xml:space="preserve"> LEMKACHER, DG de </w:t>
            </w:r>
            <w:r w:rsidR="00D455DF" w:rsidRPr="0044030D">
              <w:rPr>
                <w:sz w:val="24"/>
                <w:szCs w:val="24"/>
              </w:rPr>
              <w:t xml:space="preserve">BONDIN </w:t>
            </w:r>
            <w:r w:rsidRPr="0044030D">
              <w:rPr>
                <w:sz w:val="24"/>
                <w:szCs w:val="24"/>
              </w:rPr>
              <w:t>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16H10</w:t>
            </w:r>
          </w:p>
        </w:tc>
        <w:tc>
          <w:tcPr>
            <w:tcW w:w="8363" w:type="dxa"/>
          </w:tcPr>
          <w:p w:rsidR="0043688F" w:rsidRPr="0044030D" w:rsidRDefault="0043688F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b/>
                <w:bCs/>
                <w:sz w:val="24"/>
                <w:szCs w:val="24"/>
              </w:rPr>
              <w:t>Questions – Réponses</w:t>
            </w:r>
            <w:r w:rsidRPr="0044030D">
              <w:rPr>
                <w:sz w:val="24"/>
                <w:szCs w:val="24"/>
              </w:rPr>
              <w:t xml:space="preserve"> portant sur le volet Assistance Technique 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16H20</w:t>
            </w:r>
          </w:p>
        </w:tc>
        <w:tc>
          <w:tcPr>
            <w:tcW w:w="8363" w:type="dxa"/>
          </w:tcPr>
          <w:p w:rsidR="0043688F" w:rsidRPr="0044030D" w:rsidRDefault="002B3E93" w:rsidP="00DA101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4030D">
              <w:rPr>
                <w:sz w:val="24"/>
                <w:szCs w:val="24"/>
              </w:rPr>
              <w:t>Cérémonie de signature de la convention de coopération</w:t>
            </w:r>
            <w:r w:rsidR="0043688F" w:rsidRPr="0044030D">
              <w:rPr>
                <w:sz w:val="24"/>
                <w:szCs w:val="24"/>
              </w:rPr>
              <w:t xml:space="preserve"> entre la BERD et l’UTICA  par  Madame </w:t>
            </w:r>
            <w:proofErr w:type="spellStart"/>
            <w:r w:rsidR="0043688F" w:rsidRPr="0044030D">
              <w:rPr>
                <w:sz w:val="24"/>
                <w:szCs w:val="24"/>
              </w:rPr>
              <w:t>Ouided</w:t>
            </w:r>
            <w:proofErr w:type="spellEnd"/>
            <w:r w:rsidR="0043688F" w:rsidRPr="0044030D">
              <w:rPr>
                <w:sz w:val="24"/>
                <w:szCs w:val="24"/>
              </w:rPr>
              <w:t xml:space="preserve"> BOUCHAMAOUI, Présidente de l’UTICA et Madame </w:t>
            </w:r>
            <w:proofErr w:type="spellStart"/>
            <w:r w:rsidR="0043688F" w:rsidRPr="0044030D">
              <w:rPr>
                <w:sz w:val="24"/>
                <w:szCs w:val="24"/>
              </w:rPr>
              <w:t>Hildegard</w:t>
            </w:r>
            <w:proofErr w:type="spellEnd"/>
            <w:r w:rsidR="0043688F" w:rsidRPr="0044030D">
              <w:rPr>
                <w:sz w:val="24"/>
                <w:szCs w:val="24"/>
              </w:rPr>
              <w:t xml:space="preserve"> GACEK, </w:t>
            </w:r>
            <w:proofErr w:type="spellStart"/>
            <w:r w:rsidR="0043688F" w:rsidRPr="0044030D">
              <w:rPr>
                <w:sz w:val="24"/>
                <w:szCs w:val="24"/>
              </w:rPr>
              <w:t>Managing</w:t>
            </w:r>
            <w:proofErr w:type="spellEnd"/>
            <w:r w:rsidR="0043688F" w:rsidRPr="0044030D">
              <w:rPr>
                <w:sz w:val="24"/>
                <w:szCs w:val="24"/>
              </w:rPr>
              <w:t xml:space="preserve"> </w:t>
            </w:r>
            <w:proofErr w:type="spellStart"/>
            <w:r w:rsidR="0043688F" w:rsidRPr="0044030D">
              <w:rPr>
                <w:sz w:val="24"/>
                <w:szCs w:val="24"/>
              </w:rPr>
              <w:t>Director</w:t>
            </w:r>
            <w:proofErr w:type="spellEnd"/>
            <w:r w:rsidR="0043688F" w:rsidRPr="0044030D">
              <w:rPr>
                <w:sz w:val="24"/>
                <w:szCs w:val="24"/>
              </w:rPr>
              <w:t xml:space="preserve"> en charge de la région SEMED au sein de la BERD (10 min)</w:t>
            </w:r>
          </w:p>
        </w:tc>
      </w:tr>
      <w:tr w:rsidR="0043688F" w:rsidTr="0044030D">
        <w:tc>
          <w:tcPr>
            <w:tcW w:w="1526" w:type="dxa"/>
          </w:tcPr>
          <w:p w:rsidR="0043688F" w:rsidRPr="0043688F" w:rsidRDefault="0043688F" w:rsidP="00DA1013">
            <w:pPr>
              <w:jc w:val="center"/>
              <w:rPr>
                <w:b/>
                <w:bCs/>
              </w:rPr>
            </w:pPr>
            <w:r w:rsidRPr="0043688F">
              <w:rPr>
                <w:b/>
                <w:bCs/>
              </w:rPr>
              <w:t>16H30 – 17H</w:t>
            </w:r>
          </w:p>
        </w:tc>
        <w:tc>
          <w:tcPr>
            <w:tcW w:w="8363" w:type="dxa"/>
          </w:tcPr>
          <w:p w:rsidR="0043688F" w:rsidRPr="0044030D" w:rsidRDefault="0011589D" w:rsidP="00DA1013">
            <w:pPr>
              <w:jc w:val="both"/>
              <w:rPr>
                <w:b/>
                <w:bCs/>
                <w:sz w:val="24"/>
                <w:szCs w:val="24"/>
              </w:rPr>
            </w:pPr>
            <w:r w:rsidRPr="0044030D">
              <w:rPr>
                <w:b/>
                <w:bCs/>
                <w:sz w:val="24"/>
                <w:szCs w:val="24"/>
              </w:rPr>
              <w:t>C</w:t>
            </w:r>
            <w:r w:rsidR="0043688F" w:rsidRPr="0044030D">
              <w:rPr>
                <w:b/>
                <w:bCs/>
                <w:sz w:val="24"/>
                <w:szCs w:val="24"/>
              </w:rPr>
              <w:t>ocktail</w:t>
            </w:r>
          </w:p>
        </w:tc>
      </w:tr>
    </w:tbl>
    <w:p w:rsidR="00553E15" w:rsidRDefault="0080418C"/>
    <w:p w:rsidR="0044030D" w:rsidRDefault="0044030D"/>
    <w:p w:rsidR="0044030D" w:rsidRPr="001A78ED" w:rsidRDefault="0044030D" w:rsidP="0044030D">
      <w:pPr>
        <w:jc w:val="center"/>
        <w:rPr>
          <w:b/>
          <w:bCs/>
          <w:sz w:val="32"/>
          <w:szCs w:val="32"/>
        </w:rPr>
      </w:pPr>
      <w:r w:rsidRPr="001A78ED">
        <w:rPr>
          <w:b/>
          <w:bCs/>
          <w:sz w:val="32"/>
          <w:szCs w:val="32"/>
        </w:rPr>
        <w:t>FORMULAIRE D’INSCRIPTION</w:t>
      </w:r>
    </w:p>
    <w:p w:rsidR="0044030D" w:rsidRPr="001A78ED" w:rsidRDefault="0044030D" w:rsidP="0044030D">
      <w:pPr>
        <w:jc w:val="center"/>
        <w:rPr>
          <w:sz w:val="14"/>
          <w:szCs w:val="14"/>
        </w:rPr>
      </w:pPr>
    </w:p>
    <w:p w:rsidR="0044030D" w:rsidRPr="0044030D" w:rsidRDefault="0044030D" w:rsidP="0044030D">
      <w:pPr>
        <w:jc w:val="both"/>
        <w:rPr>
          <w:sz w:val="28"/>
          <w:szCs w:val="28"/>
        </w:rPr>
      </w:pPr>
    </w:p>
    <w:p w:rsidR="0044030D" w:rsidRPr="0044030D" w:rsidRDefault="0044030D" w:rsidP="0044030D">
      <w:pPr>
        <w:tabs>
          <w:tab w:val="left" w:leader="dot" w:pos="9072"/>
        </w:tabs>
        <w:jc w:val="both"/>
        <w:rPr>
          <w:sz w:val="28"/>
          <w:szCs w:val="28"/>
        </w:rPr>
      </w:pPr>
      <w:r w:rsidRPr="0044030D">
        <w:rPr>
          <w:sz w:val="28"/>
          <w:szCs w:val="28"/>
        </w:rPr>
        <w:t xml:space="preserve">Nom  &amp; Prénom : </w:t>
      </w:r>
      <w:r w:rsidRPr="0044030D">
        <w:rPr>
          <w:sz w:val="28"/>
          <w:szCs w:val="28"/>
        </w:rPr>
        <w:tab/>
      </w:r>
    </w:p>
    <w:p w:rsidR="0044030D" w:rsidRPr="0044030D" w:rsidRDefault="0044030D" w:rsidP="0044030D">
      <w:pPr>
        <w:tabs>
          <w:tab w:val="left" w:leader="dot" w:pos="9072"/>
        </w:tabs>
        <w:jc w:val="both"/>
        <w:rPr>
          <w:sz w:val="28"/>
          <w:szCs w:val="28"/>
        </w:rPr>
      </w:pPr>
    </w:p>
    <w:p w:rsidR="0044030D" w:rsidRPr="0044030D" w:rsidRDefault="0044030D" w:rsidP="0044030D">
      <w:pPr>
        <w:tabs>
          <w:tab w:val="left" w:leader="dot" w:pos="9072"/>
        </w:tabs>
        <w:jc w:val="both"/>
        <w:rPr>
          <w:sz w:val="28"/>
          <w:szCs w:val="28"/>
        </w:rPr>
      </w:pPr>
      <w:r w:rsidRPr="0044030D">
        <w:rPr>
          <w:sz w:val="28"/>
          <w:szCs w:val="28"/>
        </w:rPr>
        <w:t xml:space="preserve">Entreprise : </w:t>
      </w:r>
      <w:r w:rsidRPr="0044030D">
        <w:rPr>
          <w:sz w:val="28"/>
          <w:szCs w:val="28"/>
        </w:rPr>
        <w:tab/>
      </w:r>
    </w:p>
    <w:p w:rsidR="0044030D" w:rsidRPr="0044030D" w:rsidRDefault="0044030D" w:rsidP="0044030D">
      <w:pPr>
        <w:tabs>
          <w:tab w:val="left" w:leader="dot" w:pos="9072"/>
        </w:tabs>
        <w:jc w:val="both"/>
        <w:rPr>
          <w:sz w:val="28"/>
          <w:szCs w:val="28"/>
        </w:rPr>
      </w:pPr>
    </w:p>
    <w:p w:rsidR="0044030D" w:rsidRPr="0044030D" w:rsidRDefault="0044030D" w:rsidP="00D455DF">
      <w:pPr>
        <w:tabs>
          <w:tab w:val="left" w:leader="dot" w:pos="5529"/>
          <w:tab w:val="left" w:leader="dot" w:pos="9072"/>
        </w:tabs>
        <w:jc w:val="both"/>
        <w:rPr>
          <w:sz w:val="28"/>
          <w:szCs w:val="28"/>
        </w:rPr>
      </w:pPr>
      <w:r w:rsidRPr="0044030D">
        <w:rPr>
          <w:sz w:val="28"/>
          <w:szCs w:val="28"/>
        </w:rPr>
        <w:t xml:space="preserve">Tél : </w:t>
      </w:r>
      <w:r w:rsidRPr="0044030D">
        <w:rPr>
          <w:sz w:val="28"/>
          <w:szCs w:val="28"/>
        </w:rPr>
        <w:tab/>
        <w:t xml:space="preserve"> Fax : </w:t>
      </w:r>
      <w:r w:rsidRPr="0044030D">
        <w:rPr>
          <w:sz w:val="28"/>
          <w:szCs w:val="28"/>
        </w:rPr>
        <w:tab/>
      </w:r>
    </w:p>
    <w:p w:rsidR="0044030D" w:rsidRPr="0044030D" w:rsidRDefault="0044030D" w:rsidP="0044030D">
      <w:pPr>
        <w:tabs>
          <w:tab w:val="left" w:leader="dot" w:pos="6237"/>
          <w:tab w:val="left" w:leader="dot" w:pos="9072"/>
        </w:tabs>
        <w:jc w:val="both"/>
        <w:rPr>
          <w:sz w:val="28"/>
          <w:szCs w:val="28"/>
        </w:rPr>
      </w:pPr>
    </w:p>
    <w:p w:rsidR="0044030D" w:rsidRPr="0044030D" w:rsidRDefault="0044030D" w:rsidP="0044030D">
      <w:pPr>
        <w:tabs>
          <w:tab w:val="left" w:leader="dot" w:pos="9072"/>
        </w:tabs>
        <w:jc w:val="both"/>
        <w:rPr>
          <w:sz w:val="28"/>
          <w:szCs w:val="28"/>
        </w:rPr>
      </w:pPr>
      <w:r w:rsidRPr="0044030D">
        <w:rPr>
          <w:sz w:val="28"/>
          <w:szCs w:val="28"/>
        </w:rPr>
        <w:t xml:space="preserve">Email : </w:t>
      </w:r>
      <w:r w:rsidRPr="0044030D">
        <w:rPr>
          <w:sz w:val="28"/>
          <w:szCs w:val="28"/>
        </w:rPr>
        <w:tab/>
      </w:r>
      <w:r w:rsidRPr="0044030D">
        <w:rPr>
          <w:sz w:val="28"/>
          <w:szCs w:val="28"/>
        </w:rPr>
        <w:tab/>
      </w:r>
    </w:p>
    <w:sectPr w:rsidR="0044030D" w:rsidRPr="0044030D" w:rsidSect="001A7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8C" w:rsidRDefault="0080418C" w:rsidP="000D35CE">
      <w:r>
        <w:separator/>
      </w:r>
    </w:p>
  </w:endnote>
  <w:endnote w:type="continuationSeparator" w:id="0">
    <w:p w:rsidR="0080418C" w:rsidRDefault="0080418C" w:rsidP="000D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D" w:rsidRDefault="001A78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ociété"/>
      <w:id w:val="270665196"/>
      <w:placeholder>
        <w:docPart w:val="FB6E86D357C34A1080C850D7379950C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B7206" w:rsidRDefault="003B7206" w:rsidP="003B7206">
        <w:pPr>
          <w:pStyle w:val="Pieddepage"/>
          <w:pBdr>
            <w:top w:val="single" w:sz="24" w:space="6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3B7206">
          <w:t>A retourner à la Direction Centrale des Affaires Economiques</w:t>
        </w:r>
        <w:r>
          <w:t xml:space="preserve"> p</w:t>
        </w:r>
        <w:r w:rsidRPr="003B7206">
          <w:t xml:space="preserve">ar </w:t>
        </w:r>
        <w:r>
          <w:t xml:space="preserve">                                                                    </w:t>
        </w:r>
        <w:r w:rsidRPr="003B7206">
          <w:t>fax</w:t>
        </w:r>
        <w:r>
          <w:t xml:space="preserve"> : 71.809.704  / 71.142.100 ou M</w:t>
        </w:r>
        <w:r w:rsidR="001A78ED">
          <w:t xml:space="preserve">ail (s.belaiba@utica.org.tn – m.fkih@utica.org.tn) </w:t>
        </w:r>
      </w:p>
    </w:sdtContent>
  </w:sdt>
  <w:p w:rsidR="000D35CE" w:rsidRDefault="000D35CE" w:rsidP="000D35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D" w:rsidRDefault="001A78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8C" w:rsidRDefault="0080418C" w:rsidP="000D35CE">
      <w:r>
        <w:separator/>
      </w:r>
    </w:p>
  </w:footnote>
  <w:footnote w:type="continuationSeparator" w:id="0">
    <w:p w:rsidR="0080418C" w:rsidRDefault="0080418C" w:rsidP="000D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D" w:rsidRDefault="001A78E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D" w:rsidRDefault="001A78E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D" w:rsidRDefault="001A78E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501"/>
    <w:multiLevelType w:val="hybridMultilevel"/>
    <w:tmpl w:val="9650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EA"/>
    <w:rsid w:val="000D35CE"/>
    <w:rsid w:val="0011589D"/>
    <w:rsid w:val="001A78ED"/>
    <w:rsid w:val="001D7952"/>
    <w:rsid w:val="002513B1"/>
    <w:rsid w:val="002B3E93"/>
    <w:rsid w:val="002E08AB"/>
    <w:rsid w:val="00341BF9"/>
    <w:rsid w:val="003848AC"/>
    <w:rsid w:val="003B7206"/>
    <w:rsid w:val="003B7BC7"/>
    <w:rsid w:val="003D039A"/>
    <w:rsid w:val="0042357D"/>
    <w:rsid w:val="0043688F"/>
    <w:rsid w:val="0044030D"/>
    <w:rsid w:val="00461AA5"/>
    <w:rsid w:val="004654E3"/>
    <w:rsid w:val="006A49DB"/>
    <w:rsid w:val="006B5598"/>
    <w:rsid w:val="0080418C"/>
    <w:rsid w:val="00825C62"/>
    <w:rsid w:val="00935FF2"/>
    <w:rsid w:val="009C61E8"/>
    <w:rsid w:val="009F35EA"/>
    <w:rsid w:val="00A01C17"/>
    <w:rsid w:val="00B32405"/>
    <w:rsid w:val="00C867EC"/>
    <w:rsid w:val="00D455DF"/>
    <w:rsid w:val="00DA1013"/>
    <w:rsid w:val="00E86F4A"/>
    <w:rsid w:val="00F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8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35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35C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D35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5CE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B7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E86D357C34A1080C850D737995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687DD-0A5D-40EB-A09D-DE28FE390389}"/>
      </w:docPartPr>
      <w:docPartBody>
        <w:p w:rsidR="00D27B2E" w:rsidRDefault="001B3344" w:rsidP="001B3344">
          <w:pPr>
            <w:pStyle w:val="FB6E86D357C34A1080C850D7379950C4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3344"/>
    <w:rsid w:val="00144406"/>
    <w:rsid w:val="001B3344"/>
    <w:rsid w:val="006B0462"/>
    <w:rsid w:val="00D27B2E"/>
    <w:rsid w:val="00F2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8642418A034313A36E2E3D1EAADE63">
    <w:name w:val="6C8642418A034313A36E2E3D1EAADE63"/>
    <w:rsid w:val="001B3344"/>
  </w:style>
  <w:style w:type="paragraph" w:customStyle="1" w:styleId="A845F0ECDF8A4A6891FE3B0451844400">
    <w:name w:val="A845F0ECDF8A4A6891FE3B0451844400"/>
    <w:rsid w:val="001B3344"/>
  </w:style>
  <w:style w:type="paragraph" w:customStyle="1" w:styleId="FB6E86D357C34A1080C850D7379950C4">
    <w:name w:val="FB6E86D357C34A1080C850D7379950C4"/>
    <w:rsid w:val="001B33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 retourner à la Direction Centrale des Affaires Economiques par                                                                     fax : 71.809.704  / 71.142.100 ou Mail (s.belaiba@utica.org.tn – m.fkih@utica.org.tn)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sharazede</dc:creator>
  <cp:lastModifiedBy>moufida</cp:lastModifiedBy>
  <cp:revision>11</cp:revision>
  <cp:lastPrinted>2015-02-10T14:01:00Z</cp:lastPrinted>
  <dcterms:created xsi:type="dcterms:W3CDTF">2015-02-10T10:46:00Z</dcterms:created>
  <dcterms:modified xsi:type="dcterms:W3CDTF">2015-02-11T09:32:00Z</dcterms:modified>
</cp:coreProperties>
</file>